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25280" w:h="31680"/>
          <w:pgMar w:top="2420" w:right="7860" w:bottom="395" w:left="9370" w:header="0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r>
        <w:rPr>
          <w:rStyle w:val="CharStyle3"/>
          <w:b/>
          <w:bCs/>
        </w:rPr>
        <w:t xml:space="preserve">PARECER CONCLUSIVO N°. </w:t>
      </w:r>
      <w:r>
        <w:rPr>
          <w:rStyle w:val="CharStyle3"/>
          <w:b/>
          <w:bCs/>
          <w:lang w:val="en-US" w:eastAsia="en-US" w:bidi="en-US"/>
        </w:rPr>
        <w:t>0034/2024</w:t>
      </w:r>
      <w:bookmarkEnd w:id="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280" w:h="31680"/>
          <w:pgMar w:top="2420" w:right="0" w:bottom="37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3040" w:h="480" w:wrap="none" w:vAnchor="text" w:hAnchor="page" w:x="2741" w:y="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</w:rPr>
        <w:t>Exercício/Ano:</w:t>
      </w:r>
    </w:p>
    <w:p>
      <w:pPr>
        <w:pStyle w:val="Style8"/>
        <w:keepNext w:val="0"/>
        <w:keepLines w:val="0"/>
        <w:framePr w:w="1000" w:h="480" w:wrap="none" w:vAnchor="text" w:hAnchor="page" w:x="767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lang w:val="en-US" w:eastAsia="en-US" w:bidi="en-US"/>
        </w:rPr>
        <w:t>2024</w:t>
      </w:r>
    </w:p>
    <w:p>
      <w:pPr>
        <w:widowControl w:val="0"/>
        <w:spacing w:after="5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280" w:h="31680"/>
          <w:pgMar w:top="2420" w:right="1100" w:bottom="370" w:left="263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91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280" w:h="31680"/>
          <w:pgMar w:top="2420" w:right="0" w:bottom="39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4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1727200</wp:posOffset>
                </wp:positionH>
                <wp:positionV relativeFrom="paragraph">
                  <wp:posOffset>25400</wp:posOffset>
                </wp:positionV>
                <wp:extent cx="1485900" cy="75565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0" cy="755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ENTIDADE: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  <w:b/>
                                <w:bCs/>
                              </w:rPr>
                              <w:t>CNPJ: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6.pt;margin-top:2.pt;width:117.pt;height:59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ENTIDADE: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CNPJ: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9"/>
        </w:rPr>
        <w:t>Associação Beneficente São Frutuoso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2400" w:right="0" w:firstLine="0"/>
        <w:jc w:val="left"/>
      </w:pPr>
      <w:r>
        <w:rPr>
          <w:rStyle w:val="CharStyle9"/>
          <w:lang w:val="en-US" w:eastAsia="en-US" w:bidi="en-US"/>
        </w:rPr>
        <w:t>02.234.802/0001-91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0" w:line="293" w:lineRule="auto"/>
        <w:ind w:left="0" w:right="0" w:firstLine="0"/>
        <w:jc w:val="both"/>
      </w:pPr>
      <w:r>
        <w:rPr>
          <w:rStyle w:val="CharStyle9"/>
        </w:rPr>
        <w:t xml:space="preserve">Em cumprimento ao artigo </w:t>
      </w:r>
      <w:r>
        <w:rPr>
          <w:rStyle w:val="CharStyle9"/>
          <w:lang w:val="en-US" w:eastAsia="en-US" w:bidi="en-US"/>
        </w:rPr>
        <w:t xml:space="preserve">203 </w:t>
      </w:r>
      <w:r>
        <w:rPr>
          <w:rStyle w:val="CharStyle9"/>
        </w:rPr>
        <w:t xml:space="preserve">da Instrução Normativa </w:t>
      </w:r>
      <w:r>
        <w:rPr>
          <w:rStyle w:val="CharStyle9"/>
          <w:lang w:val="en-US" w:eastAsia="en-US" w:bidi="en-US"/>
        </w:rPr>
        <w:t xml:space="preserve">001 </w:t>
      </w:r>
      <w:r>
        <w:rPr>
          <w:rStyle w:val="CharStyle9"/>
        </w:rPr>
        <w:t xml:space="preserve">de </w:t>
      </w:r>
      <w:r>
        <w:rPr>
          <w:rStyle w:val="CharStyle9"/>
          <w:lang w:val="en-US" w:eastAsia="en-US" w:bidi="en-US"/>
        </w:rPr>
        <w:t xml:space="preserve">22 </w:t>
      </w:r>
      <w:r>
        <w:rPr>
          <w:rStyle w:val="CharStyle9"/>
        </w:rPr>
        <w:t xml:space="preserve">de maio de </w:t>
      </w:r>
      <w:r>
        <w:rPr>
          <w:rStyle w:val="CharStyle9"/>
          <w:lang w:val="en-US" w:eastAsia="en-US" w:bidi="en-US"/>
        </w:rPr>
        <w:t xml:space="preserve">2024 </w:t>
      </w:r>
      <w:r>
        <w:rPr>
          <w:rStyle w:val="CharStyle9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>-1 -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5360" w:val="left"/>
        </w:tabs>
        <w:bidi w:val="0"/>
        <w:spacing w:before="0" w:after="100" w:line="257" w:lineRule="auto"/>
        <w:ind w:left="0" w:right="0" w:firstLine="0"/>
        <w:jc w:val="both"/>
      </w:pPr>
      <w:r>
        <w:rPr>
          <w:rStyle w:val="CharStyle9"/>
          <w:b/>
          <w:bCs/>
        </w:rPr>
        <w:t>Endereço:</w:t>
        <w:tab/>
      </w:r>
      <w:r>
        <w:rPr>
          <w:rStyle w:val="CharStyle9"/>
        </w:rPr>
        <w:t xml:space="preserve">Rua Trinta e Sete, </w:t>
      </w:r>
      <w:r>
        <w:rPr>
          <w:rStyle w:val="CharStyle9"/>
          <w:lang w:val="en-US" w:eastAsia="en-US" w:bidi="en-US"/>
        </w:rPr>
        <w:t xml:space="preserve">09 </w:t>
      </w:r>
      <w:r>
        <w:rPr>
          <w:rStyle w:val="CharStyle9"/>
        </w:rPr>
        <w:t>- Parque Continental I - Guarulhos - SP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57" w:lineRule="auto"/>
        <w:ind w:left="5440" w:right="0" w:hanging="5440"/>
        <w:jc w:val="both"/>
      </w:pPr>
      <w:r>
        <w:rPr>
          <w:rStyle w:val="CharStyle9"/>
          <w:b/>
          <w:bCs/>
        </w:rPr>
        <w:t xml:space="preserve">Finalidade estatutária: </w:t>
      </w:r>
      <w:r>
        <w:rPr>
          <w:rStyle w:val="CharStyle9"/>
        </w:rPr>
        <w:t>A entidade ASF tem por finalidade criar e manter uma Creche para atendimento às crianças de famílias carentes, económica e social.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9"/>
        </w:rPr>
        <w:t xml:space="preserve">II, </w:t>
      </w:r>
      <w:r>
        <w:rPr>
          <w:rStyle w:val="CharStyle9"/>
          <w:lang w:val="en-US" w:eastAsia="en-US" w:bidi="en-US"/>
        </w:rPr>
        <w:t xml:space="preserve">III, </w:t>
      </w:r>
      <w:r>
        <w:rPr>
          <w:rStyle w:val="CharStyle9"/>
        </w:rPr>
        <w:t xml:space="preserve">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</w:t>
      </w:r>
      <w:r>
        <w:rPr>
          <w:rStyle w:val="CharStyle9"/>
          <w:lang w:val="en-US" w:eastAsia="en-US" w:bidi="en-US"/>
        </w:rPr>
        <w:t xml:space="preserve">respective </w:t>
      </w:r>
      <w:r>
        <w:rPr>
          <w:rStyle w:val="CharStyle9"/>
        </w:rPr>
        <w:t>objeto e cada data de prestação de contas apresentadas pela Organização da Sociedade Civil, na forma que segue: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" w:right="0" w:firstLine="0"/>
        <w:jc w:val="left"/>
      </w:pPr>
      <w:r>
        <w:rPr>
          <w:rStyle w:val="CharStyle12"/>
        </w:rPr>
        <w:t xml:space="preserve">TERMO DE COLABORAÇÃO n° </w:t>
      </w:r>
      <w:r>
        <w:rPr>
          <w:rStyle w:val="CharStyle12"/>
          <w:lang w:val="en-US" w:eastAsia="en-US" w:bidi="en-US"/>
        </w:rPr>
        <w:t xml:space="preserve">3124/2021 </w:t>
      </w:r>
      <w:r>
        <w:rPr>
          <w:rStyle w:val="CharStyle12"/>
        </w:rPr>
        <w:t>Aditivos: 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" w:right="0" w:firstLine="0"/>
        <w:jc w:val="left"/>
      </w:pPr>
      <w:r>
        <w:rPr>
          <w:rStyle w:val="CharStyle12"/>
          <w:b/>
          <w:bCs/>
        </w:rPr>
        <w:t xml:space="preserve">Objeto: </w:t>
      </w:r>
      <w:r>
        <w:rPr>
          <w:rStyle w:val="CharStyle12"/>
        </w:rPr>
        <w:t>Oferta Regular de Educação Básica Infantil na Creche, inclusive Berçário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" w:right="0" w:firstLine="0"/>
        <w:jc w:val="left"/>
      </w:pPr>
      <w:r>
        <w:rPr>
          <w:rStyle w:val="CharStyle12"/>
          <w:b/>
          <w:bCs/>
        </w:rPr>
        <w:t xml:space="preserve">Datas das Prestações de Contas Parciais: </w:t>
      </w:r>
      <w:r>
        <w:rPr>
          <w:rStyle w:val="CharStyle12"/>
        </w:rPr>
        <w:t xml:space="preserve">05/06/2024; 02/10/2024; </w:t>
      </w:r>
      <w:r>
        <w:rPr>
          <w:rStyle w:val="CharStyle12"/>
          <w:lang w:val="en-US" w:eastAsia="en-US" w:bidi="en-US"/>
        </w:rPr>
        <w:t>15/01/2025.</w:t>
      </w:r>
    </w:p>
    <w:tbl>
      <w:tblPr>
        <w:tblOverlap w:val="never"/>
        <w:jc w:val="center"/>
        <w:tblLayout w:type="fixed"/>
      </w:tblPr>
      <w:tblGrid>
        <w:gridCol w:w="6360"/>
        <w:gridCol w:w="5270"/>
        <w:gridCol w:w="4120"/>
        <w:gridCol w:w="5740"/>
      </w:tblGrid>
      <w:tr>
        <w:trPr>
          <w:trHeight w:val="1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Valores Transferidos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109.802,00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109.802,00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109.802,00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112.802,30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957/2024-6287/2024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5"/>
              </w:rPr>
              <w:t>11.347,70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139.697,50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6286/2024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5"/>
              </w:rPr>
              <w:t>19.170,30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16388/2024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158.867,80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16389/2024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rStyle w:val="CharStyle15"/>
              </w:rPr>
              <w:t>11.347,70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16388/2024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18815/2024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15"/>
                <w:lang w:val="pt-PT" w:eastAsia="pt-PT" w:bidi="pt-PT"/>
              </w:rPr>
              <w:t>CX4529/542-0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18815/2024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72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160" w:firstLine="0"/>
              <w:jc w:val="right"/>
            </w:pPr>
            <w:r>
              <w:rPr>
                <w:rStyle w:val="CharStyle15"/>
                <w:b/>
                <w:bCs/>
                <w:lang w:val="pt-PT" w:eastAsia="pt-PT" w:bidi="pt-PT"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200" w:firstLine="0"/>
              <w:jc w:val="right"/>
            </w:pPr>
            <w:r>
              <w:rPr>
                <w:rStyle w:val="CharStyle15"/>
              </w:rPr>
              <w:t>1.463.501,30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5030"/>
        <w:gridCol w:w="1070"/>
        <w:gridCol w:w="5400"/>
      </w:tblGrid>
      <w:tr>
        <w:trPr>
          <w:trHeight w:val="7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(1)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1.463.501,30</w:t>
            </w:r>
          </w:p>
        </w:tc>
      </w:tr>
      <w:tr>
        <w:trPr>
          <w:trHeight w:val="7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(2)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153.849,14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960"/>
        <w:gridCol w:w="1070"/>
        <w:gridCol w:w="5370"/>
      </w:tblGrid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(3)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16.978,56</w:t>
            </w:r>
          </w:p>
        </w:tc>
      </w:tr>
      <w:tr>
        <w:trPr>
          <w:trHeight w:val="7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(4)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Valor total da Receita </w:t>
            </w:r>
            <w:r>
              <w:rPr>
                <w:rStyle w:val="CharStyle15"/>
                <w:b/>
                <w:bCs/>
              </w:rPr>
              <w:t>(1+2+3)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1.634.329,00</w:t>
            </w:r>
          </w:p>
        </w:tc>
      </w:tr>
      <w:tr>
        <w:trPr>
          <w:trHeight w:val="69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(5)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pt-PT" w:eastAsia="pt-PT" w:bidi="pt-PT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1.388.741,38</w:t>
            </w:r>
          </w:p>
        </w:tc>
      </w:tr>
      <w:tr>
        <w:trPr>
          <w:trHeight w:val="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(6)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pt-PT" w:eastAsia="pt-PT" w:bidi="pt-PT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0,00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(7)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240.626,48</w:t>
            </w:r>
          </w:p>
        </w:tc>
      </w:tr>
      <w:tr>
        <w:trPr>
          <w:trHeight w:val="6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86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(8)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Valor investido pela DSC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4.961,14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86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(9)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Valor investido pela OSC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1.644,14</w:t>
            </w:r>
          </w:p>
        </w:tc>
      </w:tr>
      <w:tr>
        <w:trPr>
          <w:trHeight w:val="7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 xml:space="preserve">(10) </w:t>
            </w:r>
            <w:r>
              <w:rPr>
                <w:rStyle w:val="CharStyle15"/>
                <w:b/>
                <w:bCs/>
                <w:lang w:val="pt-PT" w:eastAsia="pt-PT" w:bidi="pt-PT"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242.270,62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rStyle w:val="CharStyle9"/>
        </w:rPr>
        <w:t>VI - As atividades desenvolvidas com os recursos próprios e as verbas públicas repassadas se compatibilizam com as metas propostas, bem como os resultados alcançados, cumprindo com o previsto no plano de trabalho.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rStyle w:val="CharStyle9"/>
          <w:b/>
          <w:bCs/>
        </w:rPr>
        <w:t xml:space="preserve">(X) </w:t>
      </w:r>
      <w:r>
        <w:rPr>
          <w:rStyle w:val="CharStyle9"/>
        </w:rPr>
        <w:t>Sim ( ) Não ( ) Parcialmente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rStyle w:val="CharStyle9"/>
        </w:rPr>
        <w:t>VII - Que as partes cumpriram as cláusulas pactuadas no instrumento de parceria, atinentes aos princípios da administração pública, em conformidade com a regulação que rege a matéria.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9"/>
        </w:rPr>
        <w:t>VIII - Que os gastos e a contabilização das receitas e das despesas estão regulares e perfeitos, segundo as normas brasileira de contabilidade para o terceiro setor, demonstrados no balancete e balanço patrimonial da Organização da Sociedade Civil parceira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</w:rPr>
        <w:t>XI - 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rStyle w:val="CharStyle9"/>
          <w:b/>
          <w:bCs/>
        </w:rPr>
        <w:t xml:space="preserve">(X) </w:t>
      </w:r>
      <w:r>
        <w:rPr>
          <w:rStyle w:val="CharStyle9"/>
        </w:rPr>
        <w:t>Sim ( ) Não ( ) Parcialmente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</w:rPr>
        <w:t>X - Que os comprovantes de gastos contém a identificação da Organização da Sociedade Civil beneficiária, do tipo de cada repasse, do número de cada ajuste e deste Órgão concessor?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  <w:b/>
          <w:bCs/>
        </w:rPr>
        <w:t xml:space="preserve">(X) </w:t>
      </w:r>
      <w:r>
        <w:rPr>
          <w:rStyle w:val="CharStyle9"/>
        </w:rPr>
        <w:t>Sim ( ) Não ( ) Parcialmente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</w:rPr>
        <w:t>XIII - Que na sede da concedente existe e funciona o controle interno de forma regular, responsável pela fiscalização dos atos da administração pública, e tem como responsável o Sr.(a) Rodrigo Souza Santos, CPF n</w:t>
      </w:r>
      <w:r>
        <w:rPr>
          <w:rStyle w:val="CharStyle9"/>
          <w:vertAlign w:val="superscript"/>
        </w:rPr>
        <w:t xml:space="preserve">s </w:t>
      </w:r>
      <w:r>
        <w:rPr>
          <w:rStyle w:val="CharStyle9"/>
          <w:lang w:val="en-US" w:eastAsia="en-US" w:bidi="en-US"/>
        </w:rPr>
        <w:t>359.816.908-60.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</w:rPr>
        <w:t>XIV - Que houve visita(s) para fiscalizar, monitorar e avaliar o objeto, conforme relatório(s) de fiscalização, parte integrante do processo desta prestação de contas.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</w:rPr>
        <w:t>XV - Que eventual rateio administrativo de custos indiretos realizado pela entidade do Terceiro Setor foi verificado e avaliado pelo poder público, quanto à razoabilidade, pertinência com o objeto, proporcionalidade e adequação das despesas?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9"/>
          <w:lang w:val="en-US" w:eastAsia="en-US" w:bidi="en-US"/>
        </w:rPr>
        <w:t xml:space="preserve">( ) </w:t>
      </w:r>
      <w:r>
        <w:rPr>
          <w:rStyle w:val="CharStyle9"/>
        </w:rPr>
        <w:t>Sim (X) Não ( ) Parcialmente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40" w:line="293" w:lineRule="auto"/>
        <w:ind w:left="0" w:right="0" w:firstLine="0"/>
        <w:jc w:val="both"/>
      </w:pPr>
      <w:bookmarkStart w:id="2" w:name="bookmark2"/>
      <w:r>
        <w:rPr>
          <w:rStyle w:val="CharStyle3"/>
          <w:b/>
          <w:bCs/>
        </w:rPr>
        <w:t>Manifestação: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5280" w:h="31680"/>
          <w:pgMar w:top="2420" w:right="1271" w:bottom="390" w:left="2458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 xml:space="preserve">Diante da documentação verificada emitimos Parecer Conclusivo favorável à aprovação das despesas no valor de R$ </w:t>
      </w:r>
      <w:r>
        <w:rPr>
          <w:rStyle w:val="CharStyle9"/>
          <w:lang w:val="en-US" w:eastAsia="en-US" w:bidi="en-US"/>
        </w:rPr>
        <w:t xml:space="preserve">1.388.741,38, </w:t>
      </w:r>
      <w:r>
        <w:rPr>
          <w:rStyle w:val="CharStyle9"/>
        </w:rPr>
        <w:t xml:space="preserve">destacando que a quantia de R$ </w:t>
      </w:r>
      <w:r>
        <w:rPr>
          <w:rStyle w:val="CharStyle9"/>
          <w:lang w:val="en-US" w:eastAsia="en-US" w:bidi="en-US"/>
        </w:rPr>
        <w:t xml:space="preserve">242.270,62 </w:t>
      </w:r>
      <w:r>
        <w:rPr>
          <w:rStyle w:val="CharStyle9"/>
        </w:rPr>
        <w:t xml:space="preserve">foi transportada para o exercício de </w:t>
      </w:r>
      <w:r>
        <w:rPr>
          <w:rStyle w:val="CharStyle9"/>
          <w:lang w:val="en-US" w:eastAsia="en-US" w:bidi="en-US"/>
        </w:rPr>
        <w:t>2025.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240"/>
        <w:jc w:val="left"/>
      </w:pPr>
      <w:bookmarkStart w:id="4" w:name="bookmark4"/>
      <w:r>
        <w:rPr>
          <w:rStyle w:val="CharStyle3"/>
          <w:b/>
          <w:bCs/>
        </w:rPr>
        <w:t>CONCLUSÃO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240"/>
        <w:jc w:val="left"/>
      </w:pPr>
      <w:r>
        <w:rPr>
          <w:rStyle w:val="CharStyle9"/>
        </w:rPr>
        <w:t xml:space="preserve">Atesta a prestação de contas como </w:t>
      </w:r>
      <w:r>
        <w:rPr>
          <w:rStyle w:val="CharStyle9"/>
          <w:b/>
          <w:bCs/>
        </w:rPr>
        <w:t>Regular.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25280" w:h="31680"/>
          <w:pgMar w:top="2420" w:right="1271" w:bottom="390" w:left="2458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 xml:space="preserve">Guarulhos/SP, </w:t>
      </w:r>
      <w:r>
        <w:rPr>
          <w:rStyle w:val="CharStyle9"/>
          <w:lang w:val="en-US" w:eastAsia="en-US" w:bidi="en-US"/>
        </w:rPr>
        <w:t xml:space="preserve">19 </w:t>
      </w:r>
      <w:r>
        <w:rPr>
          <w:rStyle w:val="CharStyle9"/>
        </w:rPr>
        <w:t xml:space="preserve">de Fevereiro de </w:t>
      </w:r>
      <w:r>
        <w:rPr>
          <w:rStyle w:val="CharStyle9"/>
          <w:lang w:val="en-US" w:eastAsia="en-US" w:bidi="en-US"/>
        </w:rPr>
        <w:t>2025.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370" w:h="31680"/>
          <w:pgMar w:top="1500" w:right="0" w:bottom="39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6863080</wp:posOffset>
            </wp:positionH>
            <wp:positionV relativeFrom="paragraph">
              <wp:posOffset>12700</wp:posOffset>
            </wp:positionV>
            <wp:extent cx="2419350" cy="5778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419350" cy="577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4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370" w:h="31680"/>
          <w:pgMar w:top="1500" w:right="1230" w:bottom="390" w:left="24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7900" w:right="0" w:firstLine="0"/>
        <w:jc w:val="left"/>
      </w:pPr>
      <w:bookmarkStart w:id="6" w:name="bookmark6"/>
      <w:r>
        <w:rPr>
          <w:rStyle w:val="CharStyle3"/>
          <w:b/>
          <w:bCs/>
          <w:lang w:val="en-US" w:eastAsia="en-US" w:bidi="en-US"/>
        </w:rPr>
        <w:t>^Gisela Mayumi Kodama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800" w:right="0" w:firstLine="0"/>
        <w:jc w:val="left"/>
      </w:pPr>
      <w:r>
        <w:rPr>
          <w:rStyle w:val="CharStyle9"/>
          <w:lang w:val="en-US" w:eastAsia="en-US" w:bidi="en-US"/>
        </w:rPr>
        <w:t>CPF 103.033.268-16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0" w:right="0" w:firstLine="0"/>
        <w:jc w:val="righ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8291830</wp:posOffset>
            </wp:positionH>
            <wp:positionV relativeFrom="paragraph">
              <wp:posOffset>889000</wp:posOffset>
            </wp:positionV>
            <wp:extent cx="1143000" cy="850900"/>
            <wp:wrapSquare wrapText="lef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43000" cy="8509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</w:rPr>
        <w:t xml:space="preserve">Diretora </w:t>
      </w:r>
      <w:r>
        <w:rPr>
          <w:rStyle w:val="CharStyle9"/>
          <w:lang w:val="en-US" w:eastAsia="en-US" w:bidi="en-US"/>
        </w:rPr>
        <w:t xml:space="preserve">de </w:t>
      </w:r>
      <w:r>
        <w:rPr>
          <w:rStyle w:val="CharStyle9"/>
        </w:rPr>
        <w:t xml:space="preserve">Departamento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Gestora </w:t>
      </w:r>
      <w:r>
        <w:rPr>
          <w:rStyle w:val="CharStyle9"/>
          <w:lang w:val="en-US" w:eastAsia="en-US" w:bidi="en-US"/>
        </w:rPr>
        <w:t xml:space="preserve">da </w:t>
      </w:r>
      <w:r>
        <w:rPr>
          <w:rStyle w:val="CharStyle9"/>
        </w:rPr>
        <w:t>Parceria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3760" w:right="0" w:firstLine="0"/>
        <w:jc w:val="left"/>
      </w:pPr>
      <w:r>
        <w:rPr>
          <w:rStyle w:val="CharStyle9"/>
          <w:lang w:val="en-US" w:eastAsia="en-US" w:bidi="en-US"/>
        </w:rPr>
        <w:t xml:space="preserve">De </w:t>
      </w:r>
      <w:r>
        <w:rPr>
          <w:rStyle w:val="CharStyle9"/>
        </w:rPr>
        <w:t>acordo:</w:t>
      </w:r>
    </w:p>
    <w:p>
      <w:pPr>
        <w:pStyle w:val="Style2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9000" w:right="0" w:firstLine="0"/>
        <w:jc w:val="left"/>
      </w:pPr>
      <w:bookmarkStart w:id="8" w:name="bookmark8"/>
      <w:r>
        <w:rPr>
          <w:rStyle w:val="CharStyle3"/>
          <w:b/>
          <w:bCs/>
        </w:rPr>
        <w:t>Sílvio Rodrigues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5370" w:h="31680"/>
          <w:pgMar w:top="2025" w:right="7330" w:bottom="17475" w:left="2650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>Secretário de Educação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5370" w:h="31680"/>
          <w:pgMar w:top="1500" w:right="0" w:bottom="39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3790" w:h="400" w:wrap="none" w:vAnchor="text" w:hAnchor="page" w:x="2049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8"/>
          <w:b/>
          <w:bCs/>
        </w:rPr>
        <w:t xml:space="preserve">Proposta(s): </w:t>
      </w:r>
      <w:r>
        <w:rPr>
          <w:rStyle w:val="CharStyle18"/>
          <w:b/>
          <w:bCs/>
          <w:lang w:val="en-US" w:eastAsia="en-US" w:bidi="en-US"/>
        </w:rPr>
        <w:t>0034/2024</w:t>
      </w:r>
    </w:p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25370" w:h="31680"/>
      <w:pgMar w:top="1500" w:right="1230" w:bottom="390" w:left="240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14446250</wp:posOffset>
              </wp:positionH>
              <wp:positionV relativeFrom="page">
                <wp:posOffset>20507325</wp:posOffset>
              </wp:positionV>
              <wp:extent cx="863600" cy="2349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3600" cy="2349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36"/>
                              <w:szCs w:val="36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36"/>
                                <w:szCs w:val="3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36"/>
                              <w:szCs w:val="36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137.5pt;margin-top:1614.75pt;width:68.pt;height:18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36"/>
                        <w:szCs w:val="36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36"/>
                          <w:szCs w:val="3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36"/>
                        <w:szCs w:val="36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14473555</wp:posOffset>
              </wp:positionH>
              <wp:positionV relativeFrom="page">
                <wp:posOffset>20694650</wp:posOffset>
              </wp:positionV>
              <wp:extent cx="863600" cy="24765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63600" cy="2476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36"/>
                              <w:szCs w:val="36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36"/>
                                <w:szCs w:val="36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36"/>
                              <w:szCs w:val="36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139.6500000000001pt;margin-top:1629.5pt;width:68.pt;height:19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36"/>
                        <w:szCs w:val="36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36"/>
                          <w:szCs w:val="36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36"/>
                        <w:szCs w:val="36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1841500</wp:posOffset>
              </wp:positionH>
              <wp:positionV relativeFrom="page">
                <wp:posOffset>-476250</wp:posOffset>
              </wp:positionV>
              <wp:extent cx="2495550" cy="15367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95550" cy="1536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495550" cy="1536700"/>
                                <wp:docPr id="2" name="Picutre 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495550" cy="153670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5.pt;margin-top:-37.5pt;width:196.5pt;height:121.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495550" cy="1536700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495550" cy="153670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4679950</wp:posOffset>
              </wp:positionH>
              <wp:positionV relativeFrom="page">
                <wp:posOffset>-203200</wp:posOffset>
              </wp:positionV>
              <wp:extent cx="7448550" cy="9525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48550" cy="9525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 xml:space="preserve">PREFEITURA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  <w:lang w:val="en-US" w:eastAsia="en-US" w:bidi="en-US"/>
                            </w:rPr>
                            <w:t xml:space="preserve">DE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GUARULHOS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SECRETARIA DE EDUCAÇÃO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DEPARTAMENTO DE PLANEJAMENTO DA EDUCAÇÃO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68.5pt;margin-top:-16.pt;width:586.5pt;height:75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 xml:space="preserve">PREFEITURA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  <w:lang w:val="en-US" w:eastAsia="en-US" w:bidi="en-US"/>
                      </w:rPr>
                      <w:t xml:space="preserve">DE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GUARULHOS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SECRETARIA DE EDUCAÇÃO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DEPARTAMENTO DE PLANEJAMENTO DA 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4764405</wp:posOffset>
              </wp:positionH>
              <wp:positionV relativeFrom="page">
                <wp:posOffset>44450</wp:posOffset>
              </wp:positionV>
              <wp:extent cx="7423150" cy="9525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23150" cy="9525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 xml:space="preserve">PREFEITURA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  <w:lang w:val="en-US" w:eastAsia="en-US" w:bidi="en-US"/>
                            </w:rPr>
                            <w:t>DE GUARULHOS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 xml:space="preserve">SECRETARIA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  <w:lang w:val="en-US" w:eastAsia="en-US" w:bidi="en-US"/>
                            </w:rPr>
                            <w:t xml:space="preserve">DE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EDUCAÇÃO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2"/>
                              <w:szCs w:val="42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 xml:space="preserve">DEPARTAMENTO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  <w:lang w:val="en-US" w:eastAsia="en-US" w:bidi="en-US"/>
                            </w:rPr>
                            <w:t xml:space="preserve">DE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 xml:space="preserve">PLANEJAMENTO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  <w:lang w:val="en-US" w:eastAsia="en-US" w:bidi="en-US"/>
                            </w:rPr>
                            <w:t xml:space="preserve">DA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EDUCAÇÃO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75.15000000000003pt;margin-top:3.5pt;width:584.5pt;height:75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 xml:space="preserve">PREFEITURA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  <w:lang w:val="en-US" w:eastAsia="en-US" w:bidi="en-US"/>
                      </w:rPr>
                      <w:t>DE GUARULHOS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 xml:space="preserve">SECRETARIA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  <w:lang w:val="en-US" w:eastAsia="en-US" w:bidi="en-US"/>
                      </w:rPr>
                      <w:t xml:space="preserve">DE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EDUCAÇÃO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2"/>
                        <w:szCs w:val="4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 xml:space="preserve">DEPARTAMENTO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  <w:lang w:val="en-US" w:eastAsia="en-US" w:bidi="en-US"/>
                      </w:rPr>
                      <w:t xml:space="preserve">DE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 xml:space="preserve">PLANEJAMENTO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  <w:lang w:val="en-US" w:eastAsia="en-US" w:bidi="en-US"/>
                      </w:rPr>
                      <w:t xml:space="preserve">DA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20"/>
      <w:ind w:left="395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44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44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lang w:val="en-US" w:eastAsia="en-US" w:bidi="en-US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/Relationships>
</file>